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2011/390 vom 12. November 2013</w:t>
      </w:r>
    </w:p>
    <w:p>
      <w:r>
        <w:t>Sg Versicherungsgericht, 2013-11-12, DE</w:t>
      </w:r>
    </w:p>
    <w:p>
      <w:r>
        <w:rPr>
          <w:b/>
        </w:rPr>
        <w:t xml:space="preserve">Quelle: </w:t>
      </w:r>
      <w:r>
        <w:t>https://mcp.opencaselaw.ch/entscheid/sg_publikationen_IV 2011_390</w:t>
      </w:r>
    </w:p>
    <w:p>
      <w:r>
        <w:t>FR: SG_VERSICHERUNGSGERICHT IV 2011/390 du 12 novembre 2013</w:t>
      </w:r>
    </w:p>
    <w:p>
      <w:r>
        <w:t>IT: SG_VERSICHERUNGSGERICHT IV 2011/390 del 12 novembre 2013</w:t>
      </w:r>
    </w:p>
    <w:p>
      <w:pPr>
        <w:pStyle w:val="Heading2"/>
      </w:pPr>
      <w:r>
        <w:t>Regeste</w:t>
      </w:r>
    </w:p>
    <w:p>
      <w:r>
        <w:t>Art. 8 ATSG, Art. 28 IVG. Würdigung eines bidisziplinären medizinischen Gutachtens (Entscheid des Versicherungsgerichts des Kantons St. Gallen vom 12. November 2013, IV 2011/390).</w:t>
      </w:r>
    </w:p>
    <w:p>
      <w:pPr>
        <w:pStyle w:val="Heading2"/>
      </w:pPr>
      <w:r>
        <w:t>Erwägungen</w:t>
      </w:r>
    </w:p>
    <w:p>
      <w:r>
        <w:rPr>
          <w:b/>
        </w:rPr>
        <w:t>E. 1</w:t>
      </w:r>
    </w:p>
    <w:p>
      <w:r>
        <w:t>Zwischen den Parteien ist der Rentenanspruch der Beschwerdeführerin umstritten.</w:t>
      </w:r>
    </w:p>
    <w:p>
      <w:r>
        <w:rPr>
          <w:b/>
        </w:rPr>
        <w:t>E. 1.1</w:t>
      </w:r>
    </w:p>
    <w:p>
      <w:r>
        <w:t>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1.2</w:t>
      </w:r>
    </w:p>
    <w:p>
      <w:r>
        <w:t>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2.1</w:t>
      </w:r>
    </w:p>
    <w:p>
      <w:r>
        <w:t>Zunächst ist die Frage zu beantworten, ob der medizinische Sachverhalt rechts­genüglich abgeklärt worden ist.</w:t>
      </w:r>
    </w:p>
    <w:p>
      <w:r>
        <w:rPr>
          <w:b/>
        </w:rPr>
        <w:t>E. 2.2</w:t>
      </w:r>
    </w:p>
    <w:p>
      <w:r>
        <w:t>In medizinischer Hinsicht stützt sich die Beschwerdegegnerin in der angefochtenen Verfügung vom 3. November 2011 (IV-act. 144) auf das rheumatologisch-psychiatrische Gutachten der Dres. E.___ und F.___ (interdisziplinäre Beurteilung vom 14. Juli 2008, IV-act. 42) sowie das entsprechende Verlaufsgutachten (interdisziplinäre Beurtei­lung vom 13. Juli 2010, IV-act. 108). Der RAD hält in einer internen Stellungnahme vom 29. September 2010 (IV-act. 110) fest, auf die gutachterlichen Ausführungen könne vollumfänglich abgestellt werden. Die Beschwerdeführerin bringt ihrerseits vor, das Gutachten sei nicht bzw. nur beschränkt verwertbar (vgl. Suva-act. 122, act. G 1).</w:t>
      </w:r>
    </w:p>
    <w:p>
      <w:r>
        <w:rPr>
          <w:b/>
        </w:rPr>
        <w:t>E. 2.3</w:t>
      </w:r>
    </w:p>
    <w:p>
      <w:r>
        <w:t>Die Beschwerdeführerin wendet ein, die interdisziplinäre Begutachtung sei über drei bzw. zwei Jahre alt, womit der aktuelle Gesundheitszustand der Beschwerdeführerin nicht erfasst werde. Zudem sei nur eine Verlaufsbegutachtung, nicht aber eine neue kritische Gesamtbeurteilung erfolgt (act. G 1).</w:t>
      </w:r>
    </w:p>
    <w:p>
      <w:r>
        <w:rPr>
          <w:b/>
        </w:rPr>
        <w:t>E. 2.3.1</w:t>
      </w:r>
    </w:p>
    <w:p>
      <w:r>
        <w:t>Das erste interdisziplinäre Gutachten der Dres. E.___ und F.___ datiert vom 14. Juli 2008 und war damit bei Erlass der angefochtenen Verfügung vom 3. November 2011 über drei Jahre alt. Da die IV-Anmeldung im Frühjahr 2007 erfolgte und rückwirkend Rentenansprüche zu beurteilen waren, ist das Gutachten zumindest für die zu beurteilende, bereits zurückliegende Zeitspanne aktuell. Die rheumatologische Verlaufsbegutachtung erfolgte am 16. November 2009 und die psychiatrische am 17. Mai 2010 (vgl. IV-act. 108-1). Ist nach der Begutachtung keine erhebliche Verschlechterung des Gesundheitszustandes der versicherten Person eingetreten und hat auch nichts auf eine solche hingedeutet, so kann einem Gutachten nicht mit der Begründung die Beweiskraft abgesprochen werden, es sei veraltet. Den vorliegenden Akten sind keine Hinweise auf eine vor dem Erlass der angefochtenen Verfügung eingetretene Veränderung des psychischen Gesundheitszustandes der Beschwerdeführerin zu entnehmen. In somatischer Hinsicht war die Beschwerdeführerin aufgrund der am 25. November 2010 durchgeführten Operation (retrokapitale Osteotomie, Akin-Osteotomie und Hammerzehe II am rechten Fuss) vorübergehend 100% arbeitsunfähig (vgl. den Austrittsbericht des Spitals J.___ vom 3. Dezember 2010, IV-act. 123). Diesbezüglich ist die rheumatologische Begutachtung nicht mehr aktuell. Die fehlende Aktualität schadet im vorliegenden Fall allerdings nicht, da gemäss dem Austrittsbericht reizlose Wundverhältnisse vorlagen und die behandelnden Ärzte darüber hinaus eine gute postoperative Wundheilung beschrieben (vgl. IV-act. 123). Gemäss interner Stellungnahme des RAD vom 31. März 2011 habe eine Arbeitsunfähigkeit aufgrund der Hospitalisation und Re­konvaleszenz für die Zeit vom 24. November bis 16. Dezember 2010 bestanden. Eine länger anhaltende Arbeitsunfähigkeit sei nicht anzunehmen, dies wäre ein ausserge­wöhnlicher Verlauf (IV-act. 128). Eine durch die Operation verursachte, erhebliche Verschlechterung bzw. Komplikationen, aufgrund welcher ein erhöhter Behandlungsbedarf und eine fussbedingte tiefere Arbeitsfähigkeit anzunehmen wäre, sind den Akten nicht zu entnehmen und werden von der Beschwerdeführerin auch nicht geltend gemacht. 2.3.2  Soweit die Beschwerdeführerin einwendet, inhaltlich sei keine neue kritische Gesamtbeurteilung, sondern lediglich eine Verlaufsbegutachtung erfolgt, ist festzu­halten, dass es gerade Sinn und Zweck einer Verlaufsbegutachtung ist, festzustellen, ob sich der Gesundheitszustand der versicherten Person seit der ersten Begutachtung wesentlich verändert hat und aufgrund von neuen Erkenntnissen von der im ursprünglichen Gutachten vorgenommenen Arbeitsfähigkeitsschätzung abzuweichen ist. Vorliegend ergeben sich sodann keine Hinweise auf eine ungenügende Begutachtung. Die Gutachter haben sich im Rahmen der erneuten Begutachtung mit den seit der ersten Beurteilung durchgeführten medizinischen Behandlungen und ergangenen Berichten auseinandergesetzt und diese in ihre Arbeitsfähigkeitsschätzung mit einbezogen (vgl. IV-act. 108-4 f.; IV-act. 89-11 ff.). Während Dr. F.___ bei der ersten Untersuchung die Diagnose rezidivierende depressive Störung, gegenwärtig teilremittiert im Sinne einer leichten depressiven Episode, stellte und von einer 20%igen Arbeitsfähigkeit sowohl in der angestammten als auch in adaptierten Tätigkeiten ab Untersuchungszeitpunkt im Juni 2008 ausging, passte er die Diagnose bei der zweiten Begutachtung unter Einbezug der zwischenzeitlich durchgeführten psychiatrischen Behandlungen dahingehend an, dass er die rezidivierende depressive Störung als gegenwärtig teilremittiert nach schwerer depressiver Episode mit psychotischer Symptomatik im Sinne einer leichten bis mittelgradigen Episode beurteilte. Dabei wurde der Beschwerdeführerin neu eine 30-40%ige Arbeitsunfähigkeit spätestens ab Untersuchungszeitpunkt im Juni 2010 attestiert (IV-act. 108-19). 2.4  Weiter führt die Beschwerdeführerin gegen die psychiatrische Begutachtung ver­schiedene Stellungnahmen der behandelnden medizinischen Fachpersonen (IV-act. 98, act. G 1.2) an. 2.4.1 In diesem Kontext ist darauf hinzuweisen, dass ein den Beweisanforderungen grundsätzlich genügendes medizinisches Gutachten (BGE 125 V 351 f. E. 3a und b) nicht in Frage gestellt werden kann und auch kein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2.4.2  Dr. F.___ hatte sich im Verlaufsgutachten vom 13. Juli 2010 ausführlich mit dem Bericht der Klinik H.___ (IV-act. 98) auseinandergesetzt und eingehend dargelegt, weshalb diagnostisch nicht von einer schizoaffektiven Störung, sondern weiterhin von einer rezidivierenden depressiven Störung auszugehen sei (vgl. IV-act. 108-13 f.). Die Beurteilung der behandelnden Ärzte der Klinik H.___ vermag an der nachvollziehbaren und lege artis vorgenommenen gutachterlichen Einschätzung keine Zweifel zu begründen. Gleiches gilt für den Bericht des Psychiatrischen Zentrums K.___ vom 2. Dezember 2011 (act. G 1.2), welcher die Teilnahme der Be­schwerdeführerin an den Therapien in der Tagesklinik des Zentrums erörtert. Anhalts­punkte für eine Unrichtigkeit der gutachterlichen Arbeitsfähigkeitsschätzung gehen aus dem Bericht nicht hervor. 2.4.3 Was die Stellungnahme des behandelnden Psychiaters Dr. L.___ vom 2. März 2012 (act. G 8.1) betrifft, ist festzuhalten, dass sich daraus keine Gesichtspunkte er­geben, welche der Gutachter bei seiner Einschätzung ausser Acht gelassen hätte. Sodann geht aus dieser Stellungnahme nicht hervor, inwiefern sich Dr. L.___ – wie Dr. F.___ – bei seiner Beurteilung mit der Frage der Zumutbarkeit der Arbeitsleistung auseinandergesetzt hat. Hinsichtlich der im Vergleich zur gutachterlichen Beurteilung tieferen Arbeitsfähigkeitsschätzung (50% nach erfolgter Umschulung) ist schliesslich darauf hinzuweisen, dass behandelnde Ärzte erfahrungsgemäss aufgrund ihrer auf­tragsrechtlichen Vertrauensstellung und der Behandlungsnähe in Zweifelsfällen mitunter eher zugunsten ihrer Patienten aussagen (BGE 125 V 353 E. 3b/cc). 2.5  Schliesslich fällt bei der Würdigung der Beweiskraft der Beurteilungen von Dr. E.___ und Dr. F.___ ins Gewicht, dass sie auf eigenständigen Abklärungen beruhen und für die streitigen Belange umfassend sind. Die medizinischen Vorakten wurden verwertet und die von der Beschwerdeführerin geklagten Beschwerden berücksichtigt und gewürdigt. Die Bescheinigung einer 30-40%igen Arbeitsunfähigkeit (Ganztages­pensum bei verminderter Leistungsfähigkeit) sowohl in der angestammten als auch in einer adaptierten Tätigkeit leuchtet in der Darlegung der medizinischen Zusammen­hänge und in der Beurteilung der medizinischen Situation ein. Weiter bestehen keine Anhaltspunkte dafür, dass objektiv wesentliche Tatsachen nicht berücksichtigt worden wären.</w:t>
      </w:r>
    </w:p>
    <w:p>
      <w:r>
        <w:rPr>
          <w:b/>
        </w:rPr>
        <w:t>E. 2.6</w:t>
      </w:r>
    </w:p>
    <w:p>
      <w:r>
        <w:t>Zusammenfassend ist damit vollumfänglich auf die interdisziplinären Gutachten vom 14. Juli 2008 (IV-act. 42) bzw. 13. Juli 2010 (IV-act. 108) abzustellen und davon auszugehen, dass die Beschwerdeführerin seit dem Zeitpunkt der ersten Begutachtung über eine 80%ige und ab dem Zeitpunkt der Verlaufsbegutachtung über eine 65%ige Restarbeitsfähigkeit in der angestammten sowie in adaptierten Tätigkeiten verfügte (vgl. bezüglich des Abstellens auf den Mittelwert der medizinischen Arbeitsfähigkeitsschätzung das Urteil des Bundesgerichts vom 20. August 2009, 9C_193/2009, E. 1.3.1, mit Hinweis).</w:t>
      </w:r>
    </w:p>
    <w:p>
      <w:r>
        <w:rPr>
          <w:b/>
        </w:rPr>
        <w:t>E. 3.1</w:t>
      </w:r>
    </w:p>
    <w:p>
      <w:r>
        <w:t>Gemäss Art. 28a IVG ist für die Bemessung der Invalidität von erwerbstätigen Versicherten Art. 16 ATSG anwendbar. Danach ist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w:t>
      </w:r>
    </w:p>
    <w:p>
      <w:r>
        <w:rPr>
          <w:b/>
        </w:rPr>
        <w:t>E. 3.2</w:t>
      </w:r>
    </w:p>
    <w:p>
      <w:r>
        <w:t>Die Beschwerdeführerin arbeitete vor Eintritt des Gesundheitsschadens als kauf­männische Sachbearbeiterin (vgl. den Fragebogen für Arbeitgebende vom 30. Mai 2007, IV-act. 10), wobei davon auszugehen ist, dass sie im Gesundheitsfall auch weiterhin in dieser Funktion tätig gewesen wäre. Da der Beschwerdeführerin gemäss den gutachterlichen Ausführungen trotz ihrer Gesundheitsbeeinträchtigung die ange­stammte Tätigkeit zumutbar ist, entspricht der Ausgangswert des Invalideneinkommens dem Valideneinkommen, weshalb sich der Invaliditätsgrad grundsätzlich in Relation zum Resterwerbsfähigkeitsgrad bemisst.</w:t>
      </w:r>
    </w:p>
    <w:p>
      <w:r>
        <w:rPr>
          <w:b/>
        </w:rPr>
        <w:t>E. 3.3</w:t>
      </w:r>
    </w:p>
    <w:p>
      <w:r>
        <w:t>Die Beschwerdegegnerin verneint das Vorliegen von Gründen, welche einen Abzug vom durchschnittlichen Lohnniveau gesunder Arbeitnehmer (vgl. hierzu BGE 126 V 75) rechtfertigen würden. Dies ist vor dem Hintergrund, dass insbesondere die verminderte Konzentrationsfähigkeit und der erhöhte Pausenbedarf bereits bei der Bestimmung der quantitativen Arbeitsunfähigkeit berücksichtigt wurden (vgl. IV-act. 108-19) und nicht nochmals bei der Bemessung des Tabellenlohnabzugs einbezogen werden können, sowie aufgrund der Tatsache, dass die Beschwerdeführerin weiterhin als kaufmännische Sachbearbeiterin tätig sein kann und damit keine weiterführende Einarbeitung benötigt, nicht zu beanstanden. Die Beschwerdeführerin macht zwar indirekt einen 10%igen Abzug geltend (vgl. act. G 1-8), nennt jedoch keine Gründe, welche einen solchen rechtfertigen würden.</w:t>
      </w:r>
    </w:p>
    <w:p>
      <w:r>
        <w:rPr>
          <w:b/>
        </w:rPr>
        <w:t>E. 3.4</w:t>
      </w:r>
    </w:p>
    <w:p>
      <w:r>
        <w:t>Unter Berücksichtigung einer 65%igen Restarbeitsfähigkeit ergibt sich ein nicht rentenbegründender Invaliditätsgrad von 35% ab dem Zeitpunkt der Verlaufsbegut­achtung im Juni 2010. Für die Zeit davor wurde der Beschwerdeführerin von Juli 2006 bis April 2007 eine 50%ige Arbeitsfähigkeit attestiert. Von Juli 2007 bis Mai 2008 war die Beschwerdeführerin 30% (Juli 2007 bis Mai 2008) bzw. 20% arbeitsunfähig (ab Juni 2008, vgl. IV-act. 108-19). Die zwischenzeitlich erfolgten Anstiege der Arbeitsunfähigkeit auf 70% (April bis Juli 2007) bzw. 100% (stationäre Aufenthalte in der Klinik H.___ von Januar bis März 2010 sowie im Spital J.___ von November bis Dezember 2010; IV-act. 98, 123) begründeten keine bleibende oder längere Zeit dauernde Erwerbsunfähigkeit im Sinne des Gesetzes. Insgesamt hat damit zu keiner Zeit ein rentenbegründender Invaliditätsgrad vorgelegen. Die angefochtene Verfügung vom 3. November 2011 erweist sich damit als rechtens.</w:t>
      </w:r>
    </w:p>
    <w:p>
      <w:r>
        <w:rPr>
          <w:b/>
        </w:rPr>
        <w:t>E. 3.5</w:t>
      </w:r>
    </w:p>
    <w:p>
      <w:r>
        <w:t>Vor diesem Hintergrund kann die von der Beschwerdegegnerin erstmals in der Beschwerdeantwort verneinte Frage (vgl. act. G 4), ob die gutachterlich bescheinigten Arbeitsunfähigkeiten invalidenversicherungsrechtlich relevant sind, offen gelassen werden.</w:t>
      </w:r>
    </w:p>
    <w:p>
      <w:r>
        <w:rPr>
          <w:b/>
        </w:rPr>
        <w:t>E. 4</w:t>
      </w:r>
    </w:p>
    <w:p>
      <w:r>
        <w:t>Was die von der Beschwerdeführerin gestellten Begehren hinsichtlich des Abschlusses der Arbeitsvermittlung (vgl. die Mitteilung der Beschwerdegegnerin vom 21. September 2011, IV-act. 138) betrifft, gilt es festzuhalten, dass die Frage der Arbeitsvermittlung nicht Gegenstand des vorliegenden Verfahrens bildet. Aufgrund des von der Beschwerdeführerin in diesem Zusammenhang bereits im September 2011 gestellten Gesuches um Erlass einer beschwerdefähigen Verfügung (vgl. IV-act. 140) wird die Beschwerdegegnerin jedoch angehalten sein, entsprechend tätig zu werden, sofern dies bisher nicht schon geschehen ist.</w:t>
      </w:r>
    </w:p>
    <w:p>
      <w:r>
        <w:rPr>
          <w:b/>
        </w:rPr>
        <w:t>E. 5</w:t>
      </w:r>
    </w:p>
    <w:p>
      <w:r>
        <w:t>Im Sinne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vorliegend angemessen. Diese ist vollumfänglich der unterliegenden Beschwerdeführerin aufzuerlegen. Der geleistete Kostenvorschuss von Fr. 600.-- ist ihr daran anzurechnen. Bei diesem Verfahrensausgang hat die Beschwerdeführerin keinen Anspruch auf eine Parteientschädigung. Demgemäss hat das Versicherungsgericht entschieden: 1.  Die Beschwerde wird abgewiesen. 2.  Die Beschwerdeführerin bezahlt die Gerichtskosten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